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</w:rPr>
      </w:pPr>
    </w:p>
    <w:p>
      <w:pPr>
        <w:widowControl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44"/>
          <w:szCs w:val="44"/>
        </w:rPr>
        <w:t>龙湖区第四次全国经济普查公报（第六号）</w:t>
      </w:r>
    </w:p>
    <w:p>
      <w:pPr>
        <w:widowControl/>
        <w:spacing w:line="600" w:lineRule="exact"/>
        <w:jc w:val="center"/>
        <w:rPr>
          <w:rFonts w:ascii="Times New Roman" w:hAnsi="Times New Roman" w:eastAsia="楷体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楷体" w:cs="Times New Roman"/>
          <w:color w:val="000000"/>
          <w:kern w:val="0"/>
          <w:sz w:val="32"/>
          <w:szCs w:val="32"/>
        </w:rPr>
        <w:t>——部分新兴产业基本情况</w:t>
      </w:r>
    </w:p>
    <w:p>
      <w:pPr>
        <w:jc w:val="center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龙湖区</w:t>
      </w:r>
      <w:r>
        <w:rPr>
          <w:rFonts w:hint="eastAsia" w:ascii="楷体" w:hAnsi="楷体" w:eastAsia="楷体" w:cs="楷体"/>
          <w:sz w:val="32"/>
          <w:szCs w:val="32"/>
        </w:rPr>
        <w:t>统计局</w:t>
      </w:r>
    </w:p>
    <w:p>
      <w:pPr>
        <w:jc w:val="center"/>
        <w:rPr>
          <w:rFonts w:hint="eastAsia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龙湖区</w:t>
      </w:r>
      <w:r>
        <w:rPr>
          <w:rFonts w:hint="eastAsia" w:ascii="楷体" w:hAnsi="楷体" w:eastAsia="楷体" w:cs="楷体"/>
          <w:sz w:val="32"/>
          <w:szCs w:val="32"/>
        </w:rPr>
        <w:t>第四次全国经济普查领导小组办公室</w:t>
      </w:r>
    </w:p>
    <w:p>
      <w:pPr>
        <w:jc w:val="center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2020年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9</w:t>
      </w:r>
      <w:r>
        <w:rPr>
          <w:rFonts w:hint="eastAsia" w:ascii="楷体" w:hAnsi="楷体" w:eastAsia="楷体" w:cs="楷体"/>
          <w:sz w:val="32"/>
          <w:szCs w:val="32"/>
        </w:rPr>
        <w:t>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25</w:t>
      </w:r>
      <w:r>
        <w:rPr>
          <w:rFonts w:hint="eastAsia" w:ascii="楷体" w:hAnsi="楷体" w:eastAsia="楷体" w:cs="楷体"/>
          <w:sz w:val="32"/>
          <w:szCs w:val="32"/>
        </w:rPr>
        <w:t>日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ab/>
      </w:r>
      <w:r>
        <w:rPr>
          <w:rFonts w:ascii="Times New Roman" w:hAnsi="Times New Roman" w:eastAsia="仿宋_GB2312" w:cs="Times New Roman"/>
          <w:sz w:val="32"/>
          <w:szCs w:val="32"/>
        </w:rPr>
        <w:t>根据第四次全国经济普查结果，现将我区部分新兴产业的主要数据公布如下： </w:t>
      </w:r>
    </w:p>
    <w:p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ab/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黑体" w:cs="Times New Roman"/>
          <w:sz w:val="32"/>
          <w:szCs w:val="32"/>
        </w:rPr>
        <w:t>一、工业战略性新兴产业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2018年末，全区从事战略性新兴产业生产的规模以上工业企业法人单位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ascii="Times New Roman" w:hAnsi="Times New Roman" w:eastAsia="仿宋_GB2312" w:cs="Times New Roman"/>
          <w:sz w:val="32"/>
          <w:szCs w:val="32"/>
        </w:rPr>
        <w:t>5个，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占规模以上工业企业法人单位的</w:t>
      </w:r>
      <w:r>
        <w:rPr>
          <w:rFonts w:ascii="Times New Roman" w:hAnsi="Times New Roman" w:eastAsia="仿宋_GB2312" w:cs="Times New Roman"/>
          <w:sz w:val="32"/>
          <w:szCs w:val="32"/>
        </w:rPr>
        <w:t>10.3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%。其中，生物产业</w:t>
      </w:r>
      <w:r>
        <w:rPr>
          <w:rFonts w:ascii="Times New Roman" w:hAnsi="Times New Roman" w:eastAsia="仿宋_GB2312" w:cs="Times New Roman"/>
          <w:sz w:val="32"/>
          <w:szCs w:val="32"/>
        </w:rPr>
        <w:t>7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个，占工业战略性新兴产业企业法人单位的</w:t>
      </w:r>
      <w:r>
        <w:rPr>
          <w:rFonts w:ascii="Times New Roman" w:hAnsi="Times New Roman" w:eastAsia="仿宋_GB2312" w:cs="Times New Roman"/>
          <w:sz w:val="32"/>
          <w:szCs w:val="32"/>
        </w:rPr>
        <w:t>28.0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%；新材料产业</w:t>
      </w:r>
      <w:r>
        <w:rPr>
          <w:rFonts w:ascii="Times New Roman" w:hAnsi="Times New Roman" w:eastAsia="仿宋_GB2312" w:cs="Times New Roman"/>
          <w:sz w:val="32"/>
          <w:szCs w:val="32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个，占2</w:t>
      </w:r>
      <w:r>
        <w:rPr>
          <w:rFonts w:ascii="Times New Roman" w:hAnsi="Times New Roman" w:eastAsia="仿宋_GB2312" w:cs="Times New Roman"/>
          <w:sz w:val="32"/>
          <w:szCs w:val="32"/>
        </w:rPr>
        <w:t>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.0%；新一代信息技术产业5个，占2</w:t>
      </w:r>
      <w:r>
        <w:rPr>
          <w:rFonts w:ascii="Times New Roman" w:hAnsi="Times New Roman" w:eastAsia="仿宋_GB2312" w:cs="Times New Roman"/>
          <w:sz w:val="32"/>
          <w:szCs w:val="32"/>
        </w:rPr>
        <w:t>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.0</w:t>
      </w:r>
      <w:r>
        <w:rPr>
          <w:rFonts w:ascii="Times New Roman" w:hAnsi="Times New Roman" w:eastAsia="仿宋_GB2312" w:cs="Times New Roman"/>
          <w:sz w:val="32"/>
          <w:szCs w:val="32"/>
        </w:rPr>
        <w:t>%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二、高技术制造业</w:t>
      </w:r>
    </w:p>
    <w:p>
      <w:pPr>
        <w:widowControl/>
        <w:spacing w:line="480" w:lineRule="auto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2018年末，全区共有规模以上高技术制造业企业法人单位</w:t>
      </w:r>
      <w:r>
        <w:rPr>
          <w:rFonts w:ascii="Times New Roman" w:hAnsi="Times New Roman" w:eastAsia="仿宋_GB2312" w:cs="Times New Roman"/>
          <w:sz w:val="32"/>
          <w:szCs w:val="32"/>
        </w:rPr>
        <w:t>23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个，比2013年末下降1</w:t>
      </w:r>
      <w:r>
        <w:rPr>
          <w:rFonts w:ascii="Times New Roman" w:hAnsi="Times New Roman" w:eastAsia="仿宋_GB2312" w:cs="Times New Roman"/>
          <w:sz w:val="32"/>
          <w:szCs w:val="32"/>
        </w:rPr>
        <w:t>1.5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%；占规模以上制造业的比重为</w:t>
      </w:r>
      <w:r>
        <w:rPr>
          <w:rFonts w:ascii="Times New Roman" w:hAnsi="Times New Roman" w:eastAsia="仿宋_GB2312" w:cs="Times New Roman"/>
          <w:sz w:val="32"/>
          <w:szCs w:val="32"/>
        </w:rPr>
        <w:t>9.5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%，比2013年下降0</w:t>
      </w:r>
      <w:r>
        <w:rPr>
          <w:rFonts w:ascii="Times New Roman" w:hAnsi="Times New Roman" w:eastAsia="仿宋_GB2312" w:cs="Times New Roman"/>
          <w:sz w:val="32"/>
          <w:szCs w:val="32"/>
        </w:rPr>
        <w:t>.7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个百分点；</w:t>
      </w:r>
      <w:r>
        <w:rPr>
          <w:rFonts w:ascii="Times New Roman" w:hAnsi="Times New Roman" w:eastAsia="仿宋_GB2312"/>
          <w:sz w:val="32"/>
        </w:rPr>
        <w:t>实现工业增加值</w:t>
      </w:r>
      <w:r>
        <w:rPr>
          <w:rFonts w:hint="eastAsia" w:ascii="Times New Roman" w:hAnsi="Times New Roman" w:eastAsia="仿宋_GB2312"/>
          <w:sz w:val="32"/>
        </w:rPr>
        <w:t>1</w:t>
      </w:r>
      <w:r>
        <w:rPr>
          <w:rFonts w:ascii="Times New Roman" w:hAnsi="Times New Roman" w:eastAsia="仿宋_GB2312"/>
          <w:sz w:val="32"/>
        </w:rPr>
        <w:t>8.47亿元，比</w:t>
      </w:r>
      <w:r>
        <w:rPr>
          <w:rFonts w:hint="eastAsia" w:ascii="Times New Roman" w:hAnsi="Times New Roman" w:eastAsia="仿宋_GB2312"/>
          <w:sz w:val="32"/>
        </w:rPr>
        <w:t>2</w:t>
      </w:r>
      <w:r>
        <w:rPr>
          <w:rFonts w:ascii="Times New Roman" w:hAnsi="Times New Roman" w:eastAsia="仿宋_GB2312"/>
          <w:sz w:val="32"/>
        </w:rPr>
        <w:t>013年增长</w:t>
      </w:r>
      <w:r>
        <w:rPr>
          <w:rFonts w:hint="eastAsia" w:ascii="Times New Roman" w:hAnsi="Times New Roman" w:eastAsia="仿宋_GB2312"/>
          <w:sz w:val="32"/>
        </w:rPr>
        <w:t>6</w:t>
      </w:r>
      <w:r>
        <w:rPr>
          <w:rFonts w:ascii="Times New Roman" w:hAnsi="Times New Roman" w:eastAsia="仿宋_GB2312"/>
          <w:sz w:val="32"/>
        </w:rPr>
        <w:t>0.0%。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 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2018年，规模以上高技术制造业企业法人单位全年专利申请量</w:t>
      </w:r>
      <w:r>
        <w:rPr>
          <w:rFonts w:ascii="Times New Roman" w:hAnsi="Times New Roman" w:eastAsia="仿宋_GB2312" w:cs="Times New Roman"/>
          <w:sz w:val="32"/>
          <w:szCs w:val="32"/>
        </w:rPr>
        <w:t>99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件，其中发明专利申请</w:t>
      </w:r>
      <w:r>
        <w:rPr>
          <w:rFonts w:ascii="Times New Roman" w:hAnsi="Times New Roman" w:eastAsia="仿宋_GB2312" w:cs="Times New Roman"/>
          <w:sz w:val="32"/>
          <w:szCs w:val="32"/>
        </w:rPr>
        <w:t>40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件，分别比2013年增长1</w:t>
      </w:r>
      <w:r>
        <w:rPr>
          <w:rFonts w:ascii="Times New Roman" w:hAnsi="Times New Roman" w:eastAsia="仿宋_GB2312" w:cs="Times New Roman"/>
          <w:sz w:val="32"/>
          <w:szCs w:val="32"/>
        </w:rPr>
        <w:t>67.6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%和8</w:t>
      </w:r>
      <w:r>
        <w:rPr>
          <w:rFonts w:ascii="Times New Roman" w:hAnsi="Times New Roman" w:eastAsia="仿宋_GB2312" w:cs="Times New Roman"/>
          <w:sz w:val="32"/>
          <w:szCs w:val="32"/>
        </w:rPr>
        <w:t>1.8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%；发明专利申请所占比重为</w:t>
      </w:r>
      <w:r>
        <w:rPr>
          <w:rFonts w:ascii="Times New Roman" w:hAnsi="Times New Roman" w:eastAsia="仿宋_GB2312" w:cs="Times New Roman"/>
          <w:sz w:val="32"/>
          <w:szCs w:val="32"/>
        </w:rPr>
        <w:t>40.4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%，比规模以上制造业平均水平高</w:t>
      </w:r>
      <w:r>
        <w:rPr>
          <w:rFonts w:ascii="Times New Roman" w:hAnsi="Times New Roman" w:eastAsia="仿宋_GB2312" w:cs="Times New Roman"/>
          <w:sz w:val="32"/>
          <w:szCs w:val="32"/>
        </w:rPr>
        <w:t>18.6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个百分点。 </w:t>
      </w: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三、工业企业研究与试验发展活动 </w:t>
      </w:r>
    </w:p>
    <w:p>
      <w:pPr>
        <w:widowControl/>
        <w:spacing w:line="480" w:lineRule="auto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　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2018年，开展R&amp;D（全称研究与试验发展，以下简称R&amp;D）活动的规模以上工业企业法人单位</w:t>
      </w:r>
      <w:r>
        <w:rPr>
          <w:rFonts w:ascii="Times New Roman" w:hAnsi="Times New Roman" w:eastAsia="仿宋_GB2312" w:cs="Times New Roman"/>
          <w:sz w:val="32"/>
          <w:szCs w:val="32"/>
        </w:rPr>
        <w:t>72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个，比2013年增长</w:t>
      </w:r>
      <w:r>
        <w:rPr>
          <w:rFonts w:ascii="Times New Roman" w:hAnsi="Times New Roman" w:eastAsia="仿宋_GB2312" w:cs="Times New Roman"/>
          <w:sz w:val="32"/>
          <w:szCs w:val="32"/>
        </w:rPr>
        <w:t>111.7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%；占全部规模以上工业企业法人单位的2</w:t>
      </w:r>
      <w:r>
        <w:rPr>
          <w:rFonts w:ascii="Times New Roman" w:hAnsi="Times New Roman" w:eastAsia="仿宋_GB2312" w:cs="Times New Roman"/>
          <w:sz w:val="32"/>
          <w:szCs w:val="32"/>
        </w:rPr>
        <w:t>9.6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%，比2</w:t>
      </w:r>
      <w:r>
        <w:rPr>
          <w:rFonts w:ascii="Times New Roman" w:hAnsi="Times New Roman" w:eastAsia="仿宋_GB2312" w:cs="Times New Roman"/>
          <w:sz w:val="32"/>
          <w:szCs w:val="32"/>
        </w:rPr>
        <w:t>013年提高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sz w:val="32"/>
          <w:szCs w:val="32"/>
        </w:rPr>
        <w:t>6.9个百分点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。 </w:t>
      </w:r>
    </w:p>
    <w:p>
      <w:pPr>
        <w:widowControl/>
        <w:spacing w:line="480" w:lineRule="auto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　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2018年，规模以上工业企业法人单位R&amp;D人员折合全时当量</w:t>
      </w:r>
      <w:r>
        <w:rPr>
          <w:rFonts w:ascii="Times New Roman" w:hAnsi="Times New Roman" w:eastAsia="仿宋_GB2312" w:cs="Times New Roman"/>
          <w:sz w:val="32"/>
          <w:szCs w:val="32"/>
        </w:rPr>
        <w:t>3737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人年，比2013年增长1</w:t>
      </w:r>
      <w:r>
        <w:rPr>
          <w:rFonts w:ascii="Times New Roman" w:hAnsi="Times New Roman" w:eastAsia="仿宋_GB2312" w:cs="Times New Roman"/>
          <w:sz w:val="32"/>
          <w:szCs w:val="32"/>
        </w:rPr>
        <w:t>20.2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%。 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2018年，规模以上工业企业法人单位R&amp;D经费支出</w:t>
      </w:r>
      <w:r>
        <w:rPr>
          <w:rFonts w:ascii="Times New Roman" w:hAnsi="Times New Roman" w:eastAsia="仿宋_GB2312" w:cs="Times New Roman"/>
          <w:sz w:val="32"/>
          <w:szCs w:val="32"/>
        </w:rPr>
        <w:t>6.50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亿元，比2013年增长1</w:t>
      </w:r>
      <w:r>
        <w:rPr>
          <w:rFonts w:ascii="Times New Roman" w:hAnsi="Times New Roman" w:eastAsia="仿宋_GB2312" w:cs="Times New Roman"/>
          <w:sz w:val="32"/>
          <w:szCs w:val="32"/>
        </w:rPr>
        <w:t>11.7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%；R&amp;D经费与营业收入之比为</w:t>
      </w:r>
      <w:r>
        <w:rPr>
          <w:rFonts w:ascii="Times New Roman" w:hAnsi="Times New Roman" w:eastAsia="仿宋_GB2312" w:cs="Times New Roman"/>
          <w:sz w:val="32"/>
          <w:szCs w:val="32"/>
        </w:rPr>
        <w:t>1.66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%。规模以上工业企业法人单位分行业R&amp;D经费支出及R&amp;D经费与营业收入之比详见表6-1。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2018年，规模以上工业企业法人单位全年专利申请量</w:t>
      </w:r>
      <w:r>
        <w:rPr>
          <w:rFonts w:ascii="Times New Roman" w:hAnsi="Times New Roman" w:eastAsia="仿宋_GB2312" w:cs="Times New Roman"/>
          <w:sz w:val="32"/>
          <w:szCs w:val="32"/>
        </w:rPr>
        <w:t>417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件，其中发明专利申请</w:t>
      </w:r>
      <w:r>
        <w:rPr>
          <w:rFonts w:ascii="Times New Roman" w:hAnsi="Times New Roman" w:eastAsia="仿宋_GB2312" w:cs="Times New Roman"/>
          <w:sz w:val="32"/>
          <w:szCs w:val="32"/>
        </w:rPr>
        <w:t>91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件，分别比2013年增长1</w:t>
      </w:r>
      <w:r>
        <w:rPr>
          <w:rFonts w:ascii="Times New Roman" w:hAnsi="Times New Roman" w:eastAsia="仿宋_GB2312" w:cs="Times New Roman"/>
          <w:sz w:val="32"/>
          <w:szCs w:val="32"/>
        </w:rPr>
        <w:t>26.6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%和3</w:t>
      </w:r>
      <w:r>
        <w:rPr>
          <w:rFonts w:ascii="Times New Roman" w:hAnsi="Times New Roman" w:eastAsia="仿宋_GB2312" w:cs="Times New Roman"/>
          <w:sz w:val="32"/>
          <w:szCs w:val="32"/>
        </w:rPr>
        <w:t>7.9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%；发明专利申请所占比重为</w:t>
      </w:r>
      <w:r>
        <w:rPr>
          <w:rFonts w:ascii="Times New Roman" w:hAnsi="Times New Roman" w:eastAsia="仿宋_GB2312" w:cs="Times New Roman"/>
          <w:sz w:val="32"/>
          <w:szCs w:val="32"/>
        </w:rPr>
        <w:t>21.8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%，比2013年减少1</w:t>
      </w:r>
      <w:r>
        <w:rPr>
          <w:rFonts w:ascii="Times New Roman" w:hAnsi="Times New Roman" w:eastAsia="仿宋_GB2312" w:cs="Times New Roman"/>
          <w:sz w:val="32"/>
          <w:szCs w:val="32"/>
        </w:rPr>
        <w:t>4.1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个百分点。 </w:t>
      </w:r>
    </w:p>
    <w:tbl>
      <w:tblPr>
        <w:tblStyle w:val="5"/>
        <w:tblW w:w="5336" w:type="pct"/>
        <w:tblInd w:w="-27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5"/>
        <w:gridCol w:w="2327"/>
        <w:gridCol w:w="23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5000" w:type="pct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表6-1 按行业大类分组的规模以上工业企业法人单位R&amp;D经费支出及R&amp;D经费与营业收入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2496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bookmarkStart w:id="0" w:name="_GoBack" w:colFirst="0" w:colLast="2"/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  <w:tc>
          <w:tcPr>
            <w:tcW w:w="125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R&amp;D经费支出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(万元)</w:t>
            </w:r>
          </w:p>
        </w:tc>
        <w:tc>
          <w:tcPr>
            <w:tcW w:w="125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R&amp;D经费与营业收入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之比（%）</w:t>
            </w: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>合计</w:t>
            </w:r>
          </w:p>
        </w:tc>
        <w:tc>
          <w:tcPr>
            <w:tcW w:w="1250" w:type="pct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 xml:space="preserve">64950.5 </w:t>
            </w:r>
          </w:p>
        </w:tc>
        <w:tc>
          <w:tcPr>
            <w:tcW w:w="1254" w:type="pct"/>
            <w:tcBorders>
              <w:top w:val="single" w:color="auto" w:sz="8" w:space="0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2"/>
              </w:rPr>
              <w:t xml:space="preserve">1.66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煤炭开采和洗选业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石油和天然气开采业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黑色金属矿采选业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有色金属矿采选业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非金属矿采选业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开采专业及辅助性活动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其他采矿业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农副食品加工业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300.1 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0.08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食品制造业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酒、饮料和精制茶制造业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451.9 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1.89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烟草制品业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纺织业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纺织服装、服饰业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382.1 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0.08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皮革、毛皮、羽毛及其制品和制鞋业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309.6 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0.52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木材加工和木、竹、藤、棕、草制品业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家具制造业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造纸和纸制品业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1012.5 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1.38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印刷和记录媒介复制业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372.0 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0.46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文教、工美、体育和娱乐用品制造业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4371.9 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1.43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石油、煤炭及其他燃料加工业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化学原料和化学制品制造业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2367.9 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1.47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医药制造业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5383.9 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2.30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化学纤维制造业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橡胶和塑料制品业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2030.3 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1.38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非金属矿物制品业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217.5 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0.73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黑色金属冶炼和压延加工业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有色金属冶炼和压延加工业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4485.7 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5.03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金属制品业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通用设备制造业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883.5 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3.39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专用设备制造业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1515.9 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3.48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汽车制造业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53.8 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0.02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铁路、船舶、航空航天和其他运输设备制造业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电气机械和器材制造业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33067.3 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3.51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计算机、通信和其他电子设备制造业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7738.2 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2.18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仪器仪表制造业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6.4 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 xml:space="preserve">0.02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其他制造业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废弃资源综合利用业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金属制品、机械和设备修理业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电力、热力生产和供应业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249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燃气生产和供应业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" w:hRule="atLeast"/>
        </w:trPr>
        <w:tc>
          <w:tcPr>
            <w:tcW w:w="249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水的生产和供应业</w:t>
            </w:r>
          </w:p>
        </w:tc>
        <w:tc>
          <w:tcPr>
            <w:tcW w:w="1250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  <w:tc>
          <w:tcPr>
            <w:tcW w:w="1254" w:type="pct"/>
            <w:tcBorders>
              <w:top w:val="nil"/>
              <w:left w:val="single" w:color="auto" w:sz="8" w:space="0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2"/>
              </w:rPr>
              <w:t>　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30" w:firstLineChars="150"/>
        <w:textAlignment w:val="auto"/>
        <w:rPr>
          <w:rFonts w:hint="eastAsia" w:ascii="仿宋" w:hAnsi="仿宋" w:eastAsia="仿宋" w:cs="仿宋"/>
          <w:sz w:val="22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15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四、文化及相关产业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/>
        </w:rPr>
        <w:t>　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2018年末，全区有文化及相关产业法人单位1932个，从业人员18505人，资产总计119.07亿元。 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021" w:right="1701" w:bottom="1021" w:left="1701" w:header="851" w:footer="454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61975592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jc w:val="center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4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5FC"/>
    <w:rsid w:val="00042230"/>
    <w:rsid w:val="00050B4C"/>
    <w:rsid w:val="0005659D"/>
    <w:rsid w:val="000A7488"/>
    <w:rsid w:val="000C645D"/>
    <w:rsid w:val="000E5E63"/>
    <w:rsid w:val="0015035E"/>
    <w:rsid w:val="001F690F"/>
    <w:rsid w:val="00294AD7"/>
    <w:rsid w:val="00296CA3"/>
    <w:rsid w:val="002C0A37"/>
    <w:rsid w:val="002C2228"/>
    <w:rsid w:val="002C36B3"/>
    <w:rsid w:val="00301B5B"/>
    <w:rsid w:val="003E15D6"/>
    <w:rsid w:val="003E434C"/>
    <w:rsid w:val="004025D3"/>
    <w:rsid w:val="004025FC"/>
    <w:rsid w:val="004444B6"/>
    <w:rsid w:val="004B5583"/>
    <w:rsid w:val="004E73B7"/>
    <w:rsid w:val="005331EB"/>
    <w:rsid w:val="00545CD4"/>
    <w:rsid w:val="005A24DA"/>
    <w:rsid w:val="005F1520"/>
    <w:rsid w:val="00605E4B"/>
    <w:rsid w:val="00693FA9"/>
    <w:rsid w:val="006A6D11"/>
    <w:rsid w:val="007242AB"/>
    <w:rsid w:val="007A53F6"/>
    <w:rsid w:val="007A72E9"/>
    <w:rsid w:val="007B3091"/>
    <w:rsid w:val="007C053A"/>
    <w:rsid w:val="00847DC7"/>
    <w:rsid w:val="008C30A2"/>
    <w:rsid w:val="0090459E"/>
    <w:rsid w:val="009630C7"/>
    <w:rsid w:val="00964D95"/>
    <w:rsid w:val="009806C0"/>
    <w:rsid w:val="009813C4"/>
    <w:rsid w:val="00986155"/>
    <w:rsid w:val="009A53E2"/>
    <w:rsid w:val="009E2079"/>
    <w:rsid w:val="00A018B8"/>
    <w:rsid w:val="00A654CA"/>
    <w:rsid w:val="00A81BB0"/>
    <w:rsid w:val="00AD084A"/>
    <w:rsid w:val="00B27442"/>
    <w:rsid w:val="00B342E0"/>
    <w:rsid w:val="00B62BA7"/>
    <w:rsid w:val="00C23A2A"/>
    <w:rsid w:val="00C5614F"/>
    <w:rsid w:val="00CA5337"/>
    <w:rsid w:val="00DE1D7A"/>
    <w:rsid w:val="00DF1B8A"/>
    <w:rsid w:val="00DF5BED"/>
    <w:rsid w:val="00E674CF"/>
    <w:rsid w:val="00EC1B88"/>
    <w:rsid w:val="00EF1960"/>
    <w:rsid w:val="00F47B29"/>
    <w:rsid w:val="00F5280F"/>
    <w:rsid w:val="00F835E7"/>
    <w:rsid w:val="00F97C43"/>
    <w:rsid w:val="00FB713D"/>
    <w:rsid w:val="00FD2D24"/>
    <w:rsid w:val="094C76EC"/>
    <w:rsid w:val="1D96596B"/>
    <w:rsid w:val="25E03970"/>
    <w:rsid w:val="621C3660"/>
    <w:rsid w:val="64241F64"/>
    <w:rsid w:val="6C6A3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 w:cs="Times New Roman"/>
      <w:b/>
      <w:sz w:val="32"/>
      <w:szCs w:val="2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标题 2 Char"/>
    <w:basedOn w:val="6"/>
    <w:link w:val="2"/>
    <w:qFormat/>
    <w:uiPriority w:val="0"/>
    <w:rPr>
      <w:rFonts w:ascii="Arial" w:hAnsi="Arial" w:eastAsia="黑体" w:cs="Times New Roman"/>
      <w:b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B44693E-F7F9-4075-9BC2-87601BCEB3B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1525</Characters>
  <Lines>12</Lines>
  <Paragraphs>3</Paragraphs>
  <TotalTime>4</TotalTime>
  <ScaleCrop>false</ScaleCrop>
  <LinksUpToDate>false</LinksUpToDate>
  <CharactersWithSpaces>1789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2020-04-06T07:52:00Z</dcterms:created>
  <dc:creator>zhao shuce</dc:creator>
  <cp:lastModifiedBy>Xiao</cp:lastModifiedBy>
  <dcterms:modified xsi:type="dcterms:W3CDTF">2020-09-30T02:25:29Z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